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3A" w:rsidRDefault="00DE703A" w:rsidP="00DE703A">
      <w:pPr>
        <w:pStyle w:val="Head2"/>
        <w:jc w:val="left"/>
      </w:pPr>
      <w:r>
        <w:t>Приложение В.5</w:t>
      </w:r>
    </w:p>
    <w:p w:rsidR="00DE703A" w:rsidRDefault="00DE703A" w:rsidP="00DE703A">
      <w:pPr>
        <w:pStyle w:val="Head1"/>
      </w:pPr>
      <w:r>
        <w:t xml:space="preserve">О ТОВАРАХ, ВВЕЗЕННЫХ ДЛЯ ОБРАЗОВАТЕЛЬНЫХ, НАУЧНЫХ ИЛИ </w:t>
      </w:r>
      <w:r>
        <w:br/>
        <w:t>КУЛЬТУРНЫХ ЦЕЛЕЙ</w:t>
      </w:r>
    </w:p>
    <w:p w:rsidR="00DE703A" w:rsidRDefault="00DE703A" w:rsidP="00DE703A">
      <w:pPr>
        <w:pStyle w:val="Head2"/>
      </w:pPr>
      <w:r>
        <w:t xml:space="preserve">Глава I </w:t>
      </w:r>
      <w:r>
        <w:br/>
        <w:t>ОПРЕДЕЛЕНИЯ</w:t>
      </w:r>
    </w:p>
    <w:p w:rsidR="00DE703A" w:rsidRDefault="00DE703A" w:rsidP="00DE703A">
      <w:pPr>
        <w:pStyle w:val="Head2"/>
      </w:pPr>
      <w:r>
        <w:t>Статья 1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В рамках применения настоящего Приложения нижеприведенные термины имеют следующие значения: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a) «товары, ввезенные для образовательных, научных или культурных целей» научное и учебное оборудование, оборудование для улучшения досуга моряков, а также любые другие товары, ввезенные в рамках учебной, научной или культурной деятельности;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b) в вышеприведенном пункте (а)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i) «научное и учебное оборудование» - любые модели, приборы, аппараты, машины, а также принадлежности к ним, используемые для научных исследований и обучения или профессиональной подготовки;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и) «оборудование для улучшения досуга моряков» - оборудование, предназначенное для занятий культурного, учебного, развлекательного, религиозного или спортивного характера лиц, выполняющих обязанности по обеспечению функционирования или обслуживанию в море иностранного судна, используемого для международных морских перевозок.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Примерные перечни «учебного оборудования», «оборудования для улучшения досуга моряков» и «любых других товаров, ввезенных в рамках учебной, научной или культурной деятельности», приведены соответственно в Дополнениях I, II и III к настоящему Приложению.</w:t>
      </w:r>
    </w:p>
    <w:p w:rsidR="00DE703A" w:rsidRDefault="00DE703A" w:rsidP="00DE703A">
      <w:pPr>
        <w:pStyle w:val="Head2"/>
      </w:pPr>
      <w:r>
        <w:t xml:space="preserve">Глава II </w:t>
      </w:r>
      <w:r>
        <w:br/>
        <w:t>СФЕРА ПРИМЕНЕНИЯ</w:t>
      </w:r>
    </w:p>
    <w:p w:rsidR="00DE703A" w:rsidRDefault="00DE703A" w:rsidP="00DE703A">
      <w:pPr>
        <w:pStyle w:val="Head2"/>
      </w:pPr>
      <w:r>
        <w:t>Статья 2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В соответствии со статьей 2 настоящей Конвенции право временного ввоза распространяется на: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a) товары, ввезенные исключительности для образовательных, научных или культурных целей;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b) запасные части для научного и учебного оборудования, ввезенного с применением процедуры временного ввоза во исполнение вышеприведенного пункта (a), a также инструменты, специально разработанные для технического обслуживания, контроля, калибровки или ремонта указанного оборудования.</w:t>
      </w:r>
    </w:p>
    <w:p w:rsidR="00DE703A" w:rsidRDefault="00DE703A" w:rsidP="00DE703A">
      <w:pPr>
        <w:pStyle w:val="Head2"/>
      </w:pPr>
    </w:p>
    <w:p w:rsidR="00DE703A" w:rsidRDefault="00DE703A" w:rsidP="00DE703A">
      <w:pPr>
        <w:pStyle w:val="Head2"/>
      </w:pPr>
      <w:r>
        <w:t>Глава III</w:t>
      </w:r>
      <w:r>
        <w:br/>
        <w:t>РАЗНЫЕ ПОЛОЖЕНИЯ</w:t>
      </w:r>
    </w:p>
    <w:p w:rsidR="00DE703A" w:rsidRDefault="00DE703A" w:rsidP="00DE703A">
      <w:pPr>
        <w:pStyle w:val="Head2"/>
      </w:pPr>
      <w:r>
        <w:t>Статья 3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Для применения льгот, предусмотренных настоящим Приложением: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а)    товары, ввезенные для образовательных, научных или культурных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целей, должны принадлежать лицу, обосновавшемуся или проживающему за пределами территории временного ввоза, и ввозиться уполномоченными предприятиями в разумном количестве с учетом их назначения. Они не должны использоваться в коммерческих целях;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Ь) оборудование для улучшения досуга моряков должно использоваться на иностранных судах, предназначенных для международных морских перевозок, или быть временно спущено с судна на берег для использования экипажем, или ввезено для использования в общежитиях, клубах и местах отдыха для моряков, находящихся в ведении либо официальных органов, либо религиозных или других некоммерческих организаций, а также в местах культа, в которых регулярно совершается богослужение для моряков.</w:t>
      </w:r>
    </w:p>
    <w:p w:rsidR="00DE703A" w:rsidRDefault="00DE703A" w:rsidP="00DE703A">
      <w:pPr>
        <w:pStyle w:val="Head2"/>
      </w:pPr>
    </w:p>
    <w:p w:rsidR="00DE703A" w:rsidRDefault="00DE703A" w:rsidP="00DE703A">
      <w:pPr>
        <w:pStyle w:val="Head2"/>
      </w:pPr>
      <w:r>
        <w:t>Статья 4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 xml:space="preserve">Временный ввоз используемого на борту судна научного оборудования, учебного оборудования и оборудования для улучшения досуга моряков допускается без предъявления таможенного документа и </w:t>
      </w:r>
      <w:r>
        <w:rPr>
          <w:color w:val="auto"/>
        </w:rPr>
        <w:lastRenderedPageBreak/>
        <w:t>выдачи гарантии. В необходимом случае может быть потребован перечень научного и учебного оборудования и письменное обязательство его обратного вывоза.</w:t>
      </w:r>
    </w:p>
    <w:p w:rsidR="00DE703A" w:rsidRDefault="00DE703A" w:rsidP="00DE703A">
      <w:pPr>
        <w:pStyle w:val="Head2"/>
      </w:pPr>
      <w:r>
        <w:t>Статья 5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Срок обратного вывоза товаров, ввезенных для образовательных, научных или культурных целей, составляет, по меньшей мере, двенадцать месяцев, считая с даты их ввоза.</w:t>
      </w:r>
    </w:p>
    <w:p w:rsidR="00DE703A" w:rsidRDefault="00DE703A" w:rsidP="00DE703A">
      <w:pPr>
        <w:pStyle w:val="Head2"/>
      </w:pPr>
      <w:r>
        <w:t>Статья 6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Каждая Договаривающаяся Сторона имеет право в сроки, предусмотренные статьей 29 настоящей Конвенции, сделать оговорку в отношении положений статьи 4 настоящего Приложения, касающихся научного и учебного оборудования.</w:t>
      </w:r>
    </w:p>
    <w:p w:rsidR="00DE703A" w:rsidRDefault="00DE703A" w:rsidP="00DE703A">
      <w:pPr>
        <w:pStyle w:val="Head2"/>
      </w:pPr>
      <w:r>
        <w:t>Статья 7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Дополнения к настоящему Приложению являются его составной частью.</w:t>
      </w:r>
    </w:p>
    <w:p w:rsidR="00DE703A" w:rsidRDefault="00DE703A" w:rsidP="00DE703A">
      <w:pPr>
        <w:pStyle w:val="Head2"/>
      </w:pPr>
      <w:r>
        <w:t>Статья 8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В соответствии со статьей 27 настоящей Конвенции после вступления в силу настоящее Приложение отменит и заменит Таможенную конвенцию об оборудовании для улучшения досуга моряков, Брюссель, 1 декабря 1964 г, Таможенную конвенцию о временном ввозе научного оборудования, Брюссель, 11 июня 1968 г. и Таможенную конвенцию о временном ввозе педагогического материала, Брюссель, 8 июня 1970 г в отношениях между Договаривающимися Сторонами, принявшими настоящее Приложение и являющимися Договаривающимися Сторонами вышеуказанных Конвенций.</w:t>
      </w:r>
    </w:p>
    <w:p w:rsidR="00DE703A" w:rsidRDefault="00DE703A" w:rsidP="00DE703A">
      <w:pPr>
        <w:pStyle w:val="Head2"/>
        <w:jc w:val="left"/>
        <w:rPr>
          <w:b w:val="0"/>
          <w:bCs w:val="0"/>
        </w:rPr>
      </w:pPr>
    </w:p>
    <w:p w:rsidR="00DE703A" w:rsidRDefault="00DE703A" w:rsidP="00DE703A">
      <w:pPr>
        <w:pStyle w:val="Head2"/>
        <w:jc w:val="left"/>
      </w:pPr>
      <w:r>
        <w:t>Дополнение I</w:t>
      </w:r>
    </w:p>
    <w:p w:rsidR="00DE703A" w:rsidRDefault="00DE703A" w:rsidP="00DE703A">
      <w:pPr>
        <w:pStyle w:val="Head2"/>
      </w:pPr>
      <w:r>
        <w:t>ПРИМЕРНЫЙ ПЕРЕЧЕНЬ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a)    Аппаратура для записи и воспроизведения звука ил и изображения такая, как: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эпидиаскопы;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кинопроекторы;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рирпроекторы и эпископы;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магнитофоны, видеомагнитофоны и кинескопы;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замкнутые телевизионные системы.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b)    Носители звука и изображения такие, как: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диапозитивы, диафильмы и микрофильмы;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кинофильмы;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звукозаписи (магнитные ленты, диски);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видеоленты.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c)    Специальное оборудование такое, как: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библиографическое оборудование и аудиовизуальные средства для библиотек;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передвижные библиотеки;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лаборатории для изучения иностранных языков;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оборудование для синхронного перевода;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механические или электронные программируемые обучающие машины;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специально разработанное оборудование для обучения или профессиональной подготовки инвалидов.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d)  Другое оборудование такое, как: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настенные диаграммы, макеты, графики, карты, планы, фотографии и рисунки;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приборы, аппараты и модели, разработанные в целях показа;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коллекции предметов со звуковой или визуальной педагогической информацией, разработанные для преподавания какого-либо предмета (учебные комплекты);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приборы, аппараты, инструменты и станки для обучения ремеслам;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оборудование, предназначенное для подготовки спасательного персонала, включая транспортные средства, разработанные или специально приспособленные для использования в ходе спасательных операций.</w:t>
      </w:r>
    </w:p>
    <w:p w:rsidR="00DE703A" w:rsidRDefault="00DE703A" w:rsidP="00DE703A">
      <w:pPr>
        <w:pStyle w:val="Head2"/>
        <w:jc w:val="left"/>
      </w:pPr>
    </w:p>
    <w:p w:rsidR="00DE703A" w:rsidRDefault="00DE703A" w:rsidP="00DE703A">
      <w:pPr>
        <w:pStyle w:val="Head2"/>
        <w:jc w:val="left"/>
      </w:pPr>
      <w:r>
        <w:lastRenderedPageBreak/>
        <w:t>Дополнение II</w:t>
      </w:r>
    </w:p>
    <w:p w:rsidR="00DE703A" w:rsidRDefault="00DE703A" w:rsidP="00DE703A">
      <w:pPr>
        <w:pStyle w:val="Head2"/>
      </w:pPr>
      <w:r>
        <w:t>ПРИМЕРНЫЙ ПЕРЕЧЕНЬ</w:t>
      </w:r>
    </w:p>
    <w:p w:rsidR="00DE703A" w:rsidRDefault="00DE703A" w:rsidP="00DE703A">
      <w:pPr>
        <w:pStyle w:val="a3"/>
        <w:rPr>
          <w:color w:val="auto"/>
        </w:rPr>
      </w:pP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a)    Книги и печатная продукция такие, как: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книги всех жанров;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учебники для заочного обучения;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газеты и периодические издания;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брошюры, содержащие информацию о возможностях проведения досуга в портах.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b)   Аудиовизуальное оборудование такое, как: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аппаратура для воспроизведения звука и изображения;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магнитофоны;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радиоприемники и телевизоры;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проекционные аппараты;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записи на дисках или магнитных лентах (курсы для изучения языков, радиопередачи, пожелания, музыкальные записи и записи развлекательного характера);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заснятые и проявленные кино- и фотопленки;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диапозитивы;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видеоленты.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c)    Спортивные изделия такие, как: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спортивная одежда;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мячи и мячики;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ракетки и сетки;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палубные игры;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легкоатлетический инвентарь;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гимнастическое оборудование.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d)   Оборудование для игр или проведения досуга такое, как: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комнатные игры;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музыкальные инструменты;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оборудование и аксессуары для любительских театров;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- оборудование для занятий живописью, скульптурой, работой по дереву и металлу, изготовления ковров и т.д.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e)    Предметы для религиозных обрядов.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f)   Части, детали и принадлежности к оборудованию для проведения досуга.</w:t>
      </w:r>
    </w:p>
    <w:p w:rsidR="00DE703A" w:rsidRDefault="00DE703A" w:rsidP="00DE703A">
      <w:pPr>
        <w:pStyle w:val="Head2"/>
        <w:jc w:val="left"/>
      </w:pPr>
    </w:p>
    <w:p w:rsidR="00DE703A" w:rsidRDefault="00DE703A" w:rsidP="00DE703A">
      <w:pPr>
        <w:pStyle w:val="Head2"/>
        <w:jc w:val="left"/>
      </w:pPr>
      <w:r>
        <w:t>Дополнение III</w:t>
      </w:r>
    </w:p>
    <w:p w:rsidR="00DE703A" w:rsidRDefault="00DE703A" w:rsidP="00DE703A">
      <w:pPr>
        <w:pStyle w:val="Head2"/>
      </w:pPr>
      <w:r>
        <w:t>ПРИМЕРНЫЙ ПЕРЕЧЕНЬ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Такие товары, как: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1.    Театральные костюмы и аксессуары,  посланные во временное бесплатное пользование театральным обществам и театрам.</w:t>
      </w:r>
    </w:p>
    <w:p w:rsidR="00DE703A" w:rsidRDefault="00DE703A" w:rsidP="00DE703A">
      <w:pPr>
        <w:pStyle w:val="a3"/>
        <w:rPr>
          <w:color w:val="auto"/>
        </w:rPr>
      </w:pPr>
      <w:r>
        <w:rPr>
          <w:color w:val="auto"/>
        </w:rPr>
        <w:t>2.    Партитуры и ноты, посланные во временное бесплатное пользование концертным залам или оркестрам.</w:t>
      </w:r>
    </w:p>
    <w:p w:rsidR="00DE703A" w:rsidRDefault="00DE703A" w:rsidP="00DE703A"/>
    <w:p w:rsidR="00DE703A" w:rsidRDefault="00DE703A" w:rsidP="00DE703A"/>
    <w:p w:rsidR="009D73CB" w:rsidRDefault="009D73CB">
      <w:bookmarkStart w:id="0" w:name="_GoBack"/>
      <w:bookmarkEnd w:id="0"/>
    </w:p>
    <w:sectPr w:rsidR="009D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3A"/>
    <w:rsid w:val="009D73CB"/>
    <w:rsid w:val="00DE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E703A"/>
    <w:pPr>
      <w:widowControl w:val="0"/>
      <w:autoSpaceDE w:val="0"/>
      <w:autoSpaceDN w:val="0"/>
      <w:adjustRightInd w:val="0"/>
      <w:ind w:firstLine="283"/>
      <w:jc w:val="both"/>
    </w:pPr>
    <w:rPr>
      <w:rFonts w:ascii="FreeSetCTT" w:hAnsi="FreeSetCTT"/>
      <w:color w:val="000000"/>
      <w:sz w:val="21"/>
      <w:szCs w:val="21"/>
    </w:rPr>
  </w:style>
  <w:style w:type="character" w:customStyle="1" w:styleId="a4">
    <w:name w:val="Основной текст Знак"/>
    <w:basedOn w:val="a0"/>
    <w:link w:val="a3"/>
    <w:semiHidden/>
    <w:rsid w:val="00DE703A"/>
    <w:rPr>
      <w:rFonts w:ascii="FreeSetCTT" w:eastAsia="Times New Roman" w:hAnsi="FreeSetCTT" w:cs="Times New Roman"/>
      <w:color w:val="000000"/>
      <w:sz w:val="21"/>
      <w:szCs w:val="21"/>
      <w:lang w:eastAsia="ru-RU"/>
    </w:rPr>
  </w:style>
  <w:style w:type="paragraph" w:customStyle="1" w:styleId="Head2">
    <w:name w:val="Head 2"/>
    <w:basedOn w:val="a3"/>
    <w:next w:val="a3"/>
    <w:rsid w:val="00DE703A"/>
    <w:pPr>
      <w:spacing w:before="113" w:after="170"/>
      <w:ind w:firstLine="0"/>
      <w:jc w:val="center"/>
    </w:pPr>
    <w:rPr>
      <w:b/>
      <w:bCs/>
      <w:color w:val="auto"/>
    </w:rPr>
  </w:style>
  <w:style w:type="paragraph" w:customStyle="1" w:styleId="Head1">
    <w:name w:val="Head 1"/>
    <w:basedOn w:val="a3"/>
    <w:rsid w:val="00DE703A"/>
    <w:pPr>
      <w:spacing w:after="113"/>
      <w:jc w:val="center"/>
    </w:pPr>
    <w:rPr>
      <w:b/>
      <w:bCs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E703A"/>
    <w:pPr>
      <w:widowControl w:val="0"/>
      <w:autoSpaceDE w:val="0"/>
      <w:autoSpaceDN w:val="0"/>
      <w:adjustRightInd w:val="0"/>
      <w:ind w:firstLine="283"/>
      <w:jc w:val="both"/>
    </w:pPr>
    <w:rPr>
      <w:rFonts w:ascii="FreeSetCTT" w:hAnsi="FreeSetCTT"/>
      <w:color w:val="000000"/>
      <w:sz w:val="21"/>
      <w:szCs w:val="21"/>
    </w:rPr>
  </w:style>
  <w:style w:type="character" w:customStyle="1" w:styleId="a4">
    <w:name w:val="Основной текст Знак"/>
    <w:basedOn w:val="a0"/>
    <w:link w:val="a3"/>
    <w:semiHidden/>
    <w:rsid w:val="00DE703A"/>
    <w:rPr>
      <w:rFonts w:ascii="FreeSetCTT" w:eastAsia="Times New Roman" w:hAnsi="FreeSetCTT" w:cs="Times New Roman"/>
      <w:color w:val="000000"/>
      <w:sz w:val="21"/>
      <w:szCs w:val="21"/>
      <w:lang w:eastAsia="ru-RU"/>
    </w:rPr>
  </w:style>
  <w:style w:type="paragraph" w:customStyle="1" w:styleId="Head2">
    <w:name w:val="Head 2"/>
    <w:basedOn w:val="a3"/>
    <w:next w:val="a3"/>
    <w:rsid w:val="00DE703A"/>
    <w:pPr>
      <w:spacing w:before="113" w:after="170"/>
      <w:ind w:firstLine="0"/>
      <w:jc w:val="center"/>
    </w:pPr>
    <w:rPr>
      <w:b/>
      <w:bCs/>
      <w:color w:val="auto"/>
    </w:rPr>
  </w:style>
  <w:style w:type="paragraph" w:customStyle="1" w:styleId="Head1">
    <w:name w:val="Head 1"/>
    <w:basedOn w:val="a3"/>
    <w:rsid w:val="00DE703A"/>
    <w:pPr>
      <w:spacing w:after="113"/>
      <w:jc w:val="center"/>
    </w:pPr>
    <w:rPr>
      <w:b/>
      <w:bCs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Lappa</dc:creator>
  <cp:lastModifiedBy>Yuliya Lappa</cp:lastModifiedBy>
  <cp:revision>1</cp:revision>
  <dcterms:created xsi:type="dcterms:W3CDTF">2018-02-28T07:30:00Z</dcterms:created>
  <dcterms:modified xsi:type="dcterms:W3CDTF">2018-02-28T07:31:00Z</dcterms:modified>
</cp:coreProperties>
</file>